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产业场景向来是宁波地方经济的优势。所谓“246”万千亿级产业集群，是指宁波力争到2025年在全市培育形成绿色石化、汽车制造2个世界级的万亿元级产业集群，高端装备、新材料、电子信息、软件与新兴服务4个具有国际影响力的5000亿元级产业集群，关键基础件(元器件)、智能家电、时尚纺织服装、生物医药、文体用品、节能环保6个国内领先的千亿元级产业集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宁波保税区互联网创新中心助力</w:t>
      </w:r>
      <w:r>
        <w:rPr>
          <w:rFonts w:hint="eastAsia"/>
        </w:rPr>
        <w:t>金融科技（区块链）产业园及平易数字经济产业园建设，重点聚焦大数据、云计算、人工智能、物联网、移动互联网以及区块链等新兴技术与数字供应链、保险科技、结算支付科技、金融监管科技等领域的融合发展，努力实现办公场地、数据共享、人才培育、场景交互、产业资本等核心要素资源的优化配置，力争将我区打造成长三角地区特色鲜明的金融科技及区块链</w:t>
      </w:r>
      <w:bookmarkStart w:id="0" w:name="_GoBack"/>
      <w:bookmarkEnd w:id="0"/>
      <w:r>
        <w:rPr>
          <w:rFonts w:hint="eastAsia"/>
        </w:rPr>
        <w:t>技术创新应用示范基地。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ODJiZjg0ODEyNzcwMTI0OTM4ZTYwZDIwMzcxM2QifQ=="/>
  </w:docVars>
  <w:rsids>
    <w:rsidRoot w:val="00000000"/>
    <w:rsid w:val="07A01C0E"/>
    <w:rsid w:val="7D3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4</TotalTime>
  <ScaleCrop>false</ScaleCrop>
  <LinksUpToDate>false</LinksUpToDate>
  <CharactersWithSpaces>187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2022-07-14T06:05:17Z</dcterms:created>
  <dc:creator>Administrator</dc:creator>
  <cp:lastModifiedBy>为中华之崛起而学习</cp:lastModifiedBy>
  <dcterms:modified xsi:type="dcterms:W3CDTF">2022-07-14T06:09:29Z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D50DAAAC698C4A9794D8D5DED963462D</vt:lpwstr>
  </property>
</Properties>
</file>